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3CC1" w14:textId="77777777" w:rsidR="009263E1" w:rsidRPr="009263E1" w:rsidRDefault="009263E1" w:rsidP="009263E1">
      <w:pPr>
        <w:rPr>
          <w:b/>
          <w:bCs/>
        </w:rPr>
      </w:pPr>
      <w:r w:rsidRPr="009263E1">
        <w:rPr>
          <w:b/>
          <w:bCs/>
        </w:rPr>
        <w:t>Tool: Benefits Realisation Tracker</w:t>
      </w:r>
    </w:p>
    <w:p w14:paraId="41C382EC" w14:textId="77777777" w:rsidR="004A0290" w:rsidRDefault="009263E1" w:rsidP="009263E1">
      <w:r w:rsidRPr="009263E1">
        <w:t xml:space="preserve">Track the real value of your digital transformation. The Made Smarter whitepaper highlights </w:t>
      </w:r>
      <w:proofErr w:type="gramStart"/>
      <w:r w:rsidRPr="009263E1">
        <w:t>benefits</w:t>
      </w:r>
      <w:proofErr w:type="gramEnd"/>
      <w:r w:rsidRPr="009263E1">
        <w:t xml:space="preserve"> such as cost savings, productivity gains, reduced downtime, improved quality, scalability, and workforce empowerment. This tracker helps you set baselines, measure progress, and ensure benefits are </w:t>
      </w:r>
      <w:r w:rsidRPr="009263E1">
        <w:rPr>
          <w:b/>
          <w:bCs/>
        </w:rPr>
        <w:t>secure, inclusive, and sustainable</w:t>
      </w:r>
      <w:r w:rsidRPr="009263E1">
        <w:t xml:space="preserve"> (NWSmart5.0 addition).</w:t>
      </w:r>
      <w:r w:rsidR="004A0290">
        <w:t xml:space="preserve"> </w:t>
      </w:r>
    </w:p>
    <w:p w14:paraId="6AB7A309" w14:textId="556C9601" w:rsidR="009263E1" w:rsidRPr="009263E1" w:rsidRDefault="004A0290" w:rsidP="009263E1">
      <w:r w:rsidRPr="004A0290">
        <w:t>This tracker helps manufacturing SMEs measure whether digital investments are delivering meaningful operational, workforce, cybersecurity, and sustainability improvements over time.</w:t>
      </w:r>
    </w:p>
    <w:p w14:paraId="11F1DED1" w14:textId="770B91C7" w:rsidR="004A0290" w:rsidRPr="004A0290" w:rsidRDefault="004A0290" w:rsidP="004A0290">
      <w:pPr>
        <w:rPr>
          <w:b/>
          <w:bCs/>
        </w:rPr>
      </w:pPr>
      <w:r w:rsidRPr="004A0290">
        <w:rPr>
          <w:b/>
          <w:bCs/>
        </w:rPr>
        <w:t>Recommended Review Cycle</w:t>
      </w:r>
    </w:p>
    <w:p w14:paraId="06FDB299" w14:textId="2B8EF439" w:rsidR="004A0290" w:rsidRPr="004A0290" w:rsidRDefault="004A0290" w:rsidP="004A0290">
      <w:pPr>
        <w:pStyle w:val="ListParagraph"/>
        <w:numPr>
          <w:ilvl w:val="0"/>
          <w:numId w:val="2"/>
        </w:numPr>
      </w:pPr>
      <w:r w:rsidRPr="004A0290">
        <w:t>Establish realistic targets before implementation</w:t>
      </w:r>
    </w:p>
    <w:p w14:paraId="4DB953AD" w14:textId="659FB15E" w:rsidR="004A0290" w:rsidRPr="004A0290" w:rsidRDefault="004A0290" w:rsidP="004A0290">
      <w:pPr>
        <w:pStyle w:val="ListParagraph"/>
        <w:numPr>
          <w:ilvl w:val="0"/>
          <w:numId w:val="2"/>
        </w:numPr>
      </w:pPr>
      <w:r w:rsidRPr="004A0290">
        <w:t>Measure progress consistently using the same metrics</w:t>
      </w:r>
    </w:p>
    <w:p w14:paraId="59CBE13F" w14:textId="37F0E91E" w:rsidR="004A0290" w:rsidRPr="004A0290" w:rsidRDefault="004A0290" w:rsidP="004A0290">
      <w:pPr>
        <w:pStyle w:val="ListParagraph"/>
        <w:numPr>
          <w:ilvl w:val="0"/>
          <w:numId w:val="2"/>
        </w:numPr>
      </w:pPr>
      <w:r w:rsidRPr="004A0290">
        <w:t>Involve operational teams as well as leadership</w:t>
      </w:r>
    </w:p>
    <w:p w14:paraId="7D8D2013" w14:textId="234A667B" w:rsidR="004A0290" w:rsidRPr="004A0290" w:rsidRDefault="004A0290" w:rsidP="004A0290">
      <w:pPr>
        <w:pStyle w:val="ListParagraph"/>
        <w:numPr>
          <w:ilvl w:val="0"/>
          <w:numId w:val="2"/>
        </w:numPr>
      </w:pPr>
      <w:r w:rsidRPr="004A0290">
        <w:t>Review cyber resilience and workforce impact alongside financial benefits</w:t>
      </w:r>
    </w:p>
    <w:p w14:paraId="351162E4" w14:textId="77777777" w:rsidR="004A0290" w:rsidRPr="004A0290" w:rsidRDefault="004A0290" w:rsidP="004A0290">
      <w:pPr>
        <w:pStyle w:val="ListParagraph"/>
        <w:numPr>
          <w:ilvl w:val="0"/>
          <w:numId w:val="2"/>
        </w:numPr>
      </w:pPr>
      <w:r w:rsidRPr="004A0290">
        <w:t>Update the tracker quarterly to support continuous improvement</w:t>
      </w:r>
    </w:p>
    <w:p w14:paraId="2095C34C" w14:textId="54C217A1" w:rsidR="009263E1" w:rsidRDefault="009263E1" w:rsidP="004A0290">
      <w:r w:rsidRPr="009263E1">
        <w:rPr>
          <w:b/>
          <w:bCs/>
        </w:rPr>
        <w:t>Template</w:t>
      </w:r>
      <w:r w:rsidRPr="009263E1">
        <w:t xml:space="preserve"> </w:t>
      </w:r>
    </w:p>
    <w:p w14:paraId="3156C771" w14:textId="19413E8B" w:rsidR="004A0290" w:rsidRDefault="004A0290" w:rsidP="004A0290">
      <w:r>
        <w:t>Suggested KPI Examples</w:t>
      </w:r>
    </w:p>
    <w:p w14:paraId="692E0520" w14:textId="6F13E6F4" w:rsidR="004A0290" w:rsidRDefault="004A0290" w:rsidP="004A0290">
      <w:pPr>
        <w:pStyle w:val="ListParagraph"/>
        <w:numPr>
          <w:ilvl w:val="0"/>
          <w:numId w:val="3"/>
        </w:numPr>
      </w:pPr>
      <w:r>
        <w:t>Reduced downtime</w:t>
      </w:r>
    </w:p>
    <w:p w14:paraId="25879CFB" w14:textId="562D768C" w:rsidR="004A0290" w:rsidRDefault="004A0290" w:rsidP="004A0290">
      <w:pPr>
        <w:pStyle w:val="ListParagraph"/>
        <w:numPr>
          <w:ilvl w:val="0"/>
          <w:numId w:val="3"/>
        </w:numPr>
      </w:pPr>
      <w:r>
        <w:t>Faster production cycles</w:t>
      </w:r>
    </w:p>
    <w:p w14:paraId="5E9E026D" w14:textId="3FDEAD05" w:rsidR="004A0290" w:rsidRDefault="004A0290" w:rsidP="004A0290">
      <w:pPr>
        <w:pStyle w:val="ListParagraph"/>
        <w:numPr>
          <w:ilvl w:val="0"/>
          <w:numId w:val="3"/>
        </w:numPr>
      </w:pPr>
      <w:r>
        <w:t>Lower waste and energy use</w:t>
      </w:r>
    </w:p>
    <w:p w14:paraId="6ED0071B" w14:textId="1002A3BC" w:rsidR="004A0290" w:rsidRDefault="004A0290" w:rsidP="004A0290">
      <w:pPr>
        <w:pStyle w:val="ListParagraph"/>
        <w:numPr>
          <w:ilvl w:val="0"/>
          <w:numId w:val="3"/>
        </w:numPr>
      </w:pPr>
      <w:r>
        <w:t>Improved staff engagement</w:t>
      </w:r>
    </w:p>
    <w:p w14:paraId="3DAD8C26" w14:textId="2E0D3E81" w:rsidR="004A0290" w:rsidRDefault="004A0290" w:rsidP="004A0290">
      <w:pPr>
        <w:pStyle w:val="ListParagraph"/>
        <w:numPr>
          <w:ilvl w:val="0"/>
          <w:numId w:val="3"/>
        </w:numPr>
      </w:pPr>
      <w:r>
        <w:t>Reduced manual tasks</w:t>
      </w:r>
    </w:p>
    <w:p w14:paraId="45E652AA" w14:textId="6CCCDB16" w:rsidR="004A0290" w:rsidRDefault="004A0290" w:rsidP="004A0290">
      <w:pPr>
        <w:pStyle w:val="ListParagraph"/>
        <w:numPr>
          <w:ilvl w:val="0"/>
          <w:numId w:val="3"/>
        </w:numPr>
      </w:pPr>
      <w:r>
        <w:t>Fewer cybersecurity incidents</w:t>
      </w:r>
    </w:p>
    <w:p w14:paraId="6A8EB3EF" w14:textId="6AAF4042" w:rsidR="009263E1" w:rsidRDefault="004A0290" w:rsidP="004A0290">
      <w:pPr>
        <w:pStyle w:val="ListParagraph"/>
        <w:numPr>
          <w:ilvl w:val="0"/>
          <w:numId w:val="3"/>
        </w:numPr>
      </w:pPr>
      <w:r>
        <w:t>Better data visibility</w:t>
      </w:r>
    </w:p>
    <w:p w14:paraId="6204AEE9" w14:textId="77777777" w:rsidR="009263E1" w:rsidRDefault="009263E1" w:rsidP="009263E1"/>
    <w:p w14:paraId="4EAE78FA" w14:textId="77777777" w:rsidR="009263E1" w:rsidRDefault="009263E1" w:rsidP="009263E1"/>
    <w:p w14:paraId="130C5F9F" w14:textId="77777777" w:rsidR="009263E1" w:rsidRDefault="009263E1" w:rsidP="009263E1"/>
    <w:p w14:paraId="5A3063FD" w14:textId="77777777" w:rsidR="009263E1" w:rsidRDefault="009263E1" w:rsidP="009263E1"/>
    <w:p w14:paraId="6C1FA3BB" w14:textId="77777777" w:rsidR="009263E1" w:rsidRDefault="009263E1" w:rsidP="009263E1"/>
    <w:p w14:paraId="01A7E5CF" w14:textId="77777777" w:rsidR="009263E1" w:rsidRDefault="009263E1" w:rsidP="009263E1">
      <w:pPr>
        <w:sectPr w:rsidR="009263E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2963"/>
        <w:gridCol w:w="1492"/>
        <w:gridCol w:w="1238"/>
        <w:gridCol w:w="1181"/>
        <w:gridCol w:w="1055"/>
        <w:gridCol w:w="1102"/>
        <w:gridCol w:w="1525"/>
        <w:gridCol w:w="1575"/>
        <w:gridCol w:w="1713"/>
        <w:gridCol w:w="1750"/>
      </w:tblGrid>
      <w:tr w:rsidR="009263E1" w:rsidRPr="009263E1" w14:paraId="0A6A6D85" w14:textId="77777777" w:rsidTr="00C01EE9">
        <w:tc>
          <w:tcPr>
            <w:tcW w:w="2964" w:type="dxa"/>
            <w:hideMark/>
          </w:tcPr>
          <w:p w14:paraId="181848D5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lastRenderedPageBreak/>
              <w:t>Benefit Area (from Made Smarter)</w:t>
            </w:r>
          </w:p>
        </w:tc>
        <w:tc>
          <w:tcPr>
            <w:tcW w:w="0" w:type="auto"/>
            <w:hideMark/>
          </w:tcPr>
          <w:p w14:paraId="76AED6BD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Expected Impact / Target</w:t>
            </w:r>
          </w:p>
        </w:tc>
        <w:tc>
          <w:tcPr>
            <w:tcW w:w="0" w:type="auto"/>
            <w:hideMark/>
          </w:tcPr>
          <w:p w14:paraId="2C70F5D1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Baseline (Current)</w:t>
            </w:r>
          </w:p>
        </w:tc>
        <w:tc>
          <w:tcPr>
            <w:tcW w:w="1181" w:type="dxa"/>
            <w:hideMark/>
          </w:tcPr>
          <w:p w14:paraId="04930ECC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Target Metric (e.g. %)</w:t>
            </w:r>
          </w:p>
        </w:tc>
        <w:tc>
          <w:tcPr>
            <w:tcW w:w="926" w:type="dxa"/>
            <w:hideMark/>
          </w:tcPr>
          <w:p w14:paraId="18AB609C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Actual at 3 months</w:t>
            </w:r>
          </w:p>
        </w:tc>
        <w:tc>
          <w:tcPr>
            <w:tcW w:w="0" w:type="auto"/>
            <w:hideMark/>
          </w:tcPr>
          <w:p w14:paraId="01A5F281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Actual at 6 months</w:t>
            </w:r>
          </w:p>
        </w:tc>
        <w:tc>
          <w:tcPr>
            <w:tcW w:w="1525" w:type="dxa"/>
            <w:hideMark/>
          </w:tcPr>
          <w:p w14:paraId="5654EA52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Actual at 12 months</w:t>
            </w:r>
          </w:p>
        </w:tc>
        <w:tc>
          <w:tcPr>
            <w:tcW w:w="1575" w:type="dxa"/>
            <w:hideMark/>
          </w:tcPr>
          <w:p w14:paraId="12AE331F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Responsible Person</w:t>
            </w:r>
          </w:p>
        </w:tc>
        <w:tc>
          <w:tcPr>
            <w:tcW w:w="0" w:type="auto"/>
            <w:hideMark/>
          </w:tcPr>
          <w:p w14:paraId="3FEBD759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Cyber / Safe AI / EDI Check</w:t>
            </w:r>
          </w:p>
        </w:tc>
        <w:tc>
          <w:tcPr>
            <w:tcW w:w="1750" w:type="dxa"/>
            <w:hideMark/>
          </w:tcPr>
          <w:p w14:paraId="55B135D1" w14:textId="77777777" w:rsidR="009263E1" w:rsidRPr="009263E1" w:rsidRDefault="009263E1" w:rsidP="009263E1">
            <w:pPr>
              <w:spacing w:after="160" w:line="278" w:lineRule="auto"/>
              <w:rPr>
                <w:b/>
                <w:bCs/>
              </w:rPr>
            </w:pPr>
            <w:r w:rsidRPr="009263E1">
              <w:rPr>
                <w:b/>
                <w:bCs/>
              </w:rPr>
              <w:t>Notes / Actions</w:t>
            </w:r>
          </w:p>
        </w:tc>
      </w:tr>
      <w:tr w:rsidR="009263E1" w:rsidRPr="009263E1" w14:paraId="191284DB" w14:textId="77777777" w:rsidTr="00C01EE9">
        <w:tc>
          <w:tcPr>
            <w:tcW w:w="2964" w:type="dxa"/>
            <w:hideMark/>
          </w:tcPr>
          <w:p w14:paraId="2FF82B95" w14:textId="77777777" w:rsidR="009263E1" w:rsidRPr="009263E1" w:rsidRDefault="009263E1" w:rsidP="009263E1">
            <w:pPr>
              <w:spacing w:after="160" w:line="278" w:lineRule="auto"/>
            </w:pPr>
            <w:r w:rsidRPr="009263E1">
              <w:rPr>
                <w:b/>
                <w:bCs/>
              </w:rPr>
              <w:t>Productivity &amp; Efficiency</w:t>
            </w:r>
            <w:r w:rsidRPr="009263E1">
              <w:t xml:space="preserve"> (real-time data &amp; automation)</w:t>
            </w:r>
          </w:p>
        </w:tc>
        <w:tc>
          <w:tcPr>
            <w:tcW w:w="0" w:type="auto"/>
            <w:hideMark/>
          </w:tcPr>
          <w:p w14:paraId="5EACC9AB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e.g. 15–25% increase</w:t>
            </w:r>
          </w:p>
        </w:tc>
        <w:tc>
          <w:tcPr>
            <w:tcW w:w="0" w:type="auto"/>
            <w:hideMark/>
          </w:tcPr>
          <w:p w14:paraId="25C19D75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181" w:type="dxa"/>
            <w:hideMark/>
          </w:tcPr>
          <w:p w14:paraId="0FC26068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926" w:type="dxa"/>
            <w:hideMark/>
          </w:tcPr>
          <w:p w14:paraId="2EF93386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93A68EF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25" w:type="dxa"/>
            <w:hideMark/>
          </w:tcPr>
          <w:p w14:paraId="40D856B7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75" w:type="dxa"/>
            <w:hideMark/>
          </w:tcPr>
          <w:p w14:paraId="468385AB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EABCD22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Has cyber risk been assessed for new tools?</w:t>
            </w:r>
          </w:p>
        </w:tc>
        <w:tc>
          <w:tcPr>
            <w:tcW w:w="1750" w:type="dxa"/>
            <w:hideMark/>
          </w:tcPr>
          <w:p w14:paraId="5FE96D49" w14:textId="77777777" w:rsidR="009263E1" w:rsidRPr="009263E1" w:rsidRDefault="009263E1" w:rsidP="009263E1">
            <w:pPr>
              <w:spacing w:after="160" w:line="278" w:lineRule="auto"/>
            </w:pPr>
          </w:p>
        </w:tc>
      </w:tr>
      <w:tr w:rsidR="009263E1" w:rsidRPr="009263E1" w14:paraId="3B28E056" w14:textId="77777777" w:rsidTr="00C01EE9">
        <w:tc>
          <w:tcPr>
            <w:tcW w:w="2964" w:type="dxa"/>
            <w:hideMark/>
          </w:tcPr>
          <w:p w14:paraId="767F7848" w14:textId="77777777" w:rsidR="009263E1" w:rsidRPr="009263E1" w:rsidRDefault="009263E1" w:rsidP="009263E1">
            <w:pPr>
              <w:spacing w:after="160" w:line="278" w:lineRule="auto"/>
            </w:pPr>
            <w:r w:rsidRPr="009263E1">
              <w:rPr>
                <w:b/>
                <w:bCs/>
              </w:rPr>
              <w:t>Cost Savings</w:t>
            </w:r>
            <w:r w:rsidRPr="009263E1">
              <w:t xml:space="preserve"> (predictive maintenance, reduced waste)</w:t>
            </w:r>
          </w:p>
        </w:tc>
        <w:tc>
          <w:tcPr>
            <w:tcW w:w="0" w:type="auto"/>
            <w:hideMark/>
          </w:tcPr>
          <w:p w14:paraId="1336613D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e.g. 10–20% reduction in downtime costs</w:t>
            </w:r>
          </w:p>
        </w:tc>
        <w:tc>
          <w:tcPr>
            <w:tcW w:w="0" w:type="auto"/>
            <w:hideMark/>
          </w:tcPr>
          <w:p w14:paraId="283D1709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181" w:type="dxa"/>
            <w:hideMark/>
          </w:tcPr>
          <w:p w14:paraId="4AA97EBF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926" w:type="dxa"/>
            <w:hideMark/>
          </w:tcPr>
          <w:p w14:paraId="6370545B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7610145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25" w:type="dxa"/>
            <w:hideMark/>
          </w:tcPr>
          <w:p w14:paraId="0F7AA895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75" w:type="dxa"/>
            <w:hideMark/>
          </w:tcPr>
          <w:p w14:paraId="6FA220E9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9D5811B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Data privacy (GDPR) compliant?</w:t>
            </w:r>
          </w:p>
        </w:tc>
        <w:tc>
          <w:tcPr>
            <w:tcW w:w="1750" w:type="dxa"/>
            <w:hideMark/>
          </w:tcPr>
          <w:p w14:paraId="4EC6C964" w14:textId="77777777" w:rsidR="009263E1" w:rsidRPr="009263E1" w:rsidRDefault="009263E1" w:rsidP="009263E1">
            <w:pPr>
              <w:spacing w:after="160" w:line="278" w:lineRule="auto"/>
            </w:pPr>
          </w:p>
        </w:tc>
      </w:tr>
      <w:tr w:rsidR="009263E1" w:rsidRPr="009263E1" w14:paraId="17DE7CAA" w14:textId="77777777" w:rsidTr="00C01EE9">
        <w:tc>
          <w:tcPr>
            <w:tcW w:w="2964" w:type="dxa"/>
            <w:hideMark/>
          </w:tcPr>
          <w:p w14:paraId="2A33295F" w14:textId="77777777" w:rsidR="009263E1" w:rsidRPr="009263E1" w:rsidRDefault="009263E1" w:rsidP="009263E1">
            <w:pPr>
              <w:spacing w:after="160" w:line="278" w:lineRule="auto"/>
            </w:pPr>
            <w:r w:rsidRPr="009263E1">
              <w:rPr>
                <w:b/>
                <w:bCs/>
              </w:rPr>
              <w:t>Quality &amp; Precision</w:t>
            </w:r>
            <w:r w:rsidRPr="009263E1">
              <w:t xml:space="preserve"> (consistency via digital tools)</w:t>
            </w:r>
          </w:p>
        </w:tc>
        <w:tc>
          <w:tcPr>
            <w:tcW w:w="0" w:type="auto"/>
            <w:hideMark/>
          </w:tcPr>
          <w:p w14:paraId="07C6EB18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e.g. defect rate reduced by 30%</w:t>
            </w:r>
          </w:p>
        </w:tc>
        <w:tc>
          <w:tcPr>
            <w:tcW w:w="0" w:type="auto"/>
            <w:hideMark/>
          </w:tcPr>
          <w:p w14:paraId="7535B96E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181" w:type="dxa"/>
            <w:hideMark/>
          </w:tcPr>
          <w:p w14:paraId="29179644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926" w:type="dxa"/>
            <w:hideMark/>
          </w:tcPr>
          <w:p w14:paraId="08EC785C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2D22A19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25" w:type="dxa"/>
            <w:hideMark/>
          </w:tcPr>
          <w:p w14:paraId="03A608A2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75" w:type="dxa"/>
            <w:hideMark/>
          </w:tcPr>
          <w:p w14:paraId="13A5D298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B8CDD58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Safe AI decision-making is explainable?</w:t>
            </w:r>
          </w:p>
        </w:tc>
        <w:tc>
          <w:tcPr>
            <w:tcW w:w="1750" w:type="dxa"/>
            <w:hideMark/>
          </w:tcPr>
          <w:p w14:paraId="461467CA" w14:textId="77777777" w:rsidR="009263E1" w:rsidRPr="009263E1" w:rsidRDefault="009263E1" w:rsidP="009263E1">
            <w:pPr>
              <w:spacing w:after="160" w:line="278" w:lineRule="auto"/>
            </w:pPr>
          </w:p>
        </w:tc>
      </w:tr>
      <w:tr w:rsidR="009263E1" w:rsidRPr="009263E1" w14:paraId="2D6A1A6B" w14:textId="77777777" w:rsidTr="00C01EE9">
        <w:tc>
          <w:tcPr>
            <w:tcW w:w="2964" w:type="dxa"/>
            <w:hideMark/>
          </w:tcPr>
          <w:p w14:paraId="4D6135C9" w14:textId="77777777" w:rsidR="009263E1" w:rsidRPr="009263E1" w:rsidRDefault="009263E1" w:rsidP="009263E1">
            <w:pPr>
              <w:spacing w:after="160" w:line="278" w:lineRule="auto"/>
            </w:pPr>
            <w:r w:rsidRPr="009263E1">
              <w:rPr>
                <w:b/>
                <w:bCs/>
              </w:rPr>
              <w:t>Workforce &amp; Skills</w:t>
            </w:r>
            <w:r w:rsidRPr="009263E1">
              <w:t xml:space="preserve"> (tackling labour shortages, talent attraction)</w:t>
            </w:r>
          </w:p>
        </w:tc>
        <w:tc>
          <w:tcPr>
            <w:tcW w:w="0" w:type="auto"/>
            <w:hideMark/>
          </w:tcPr>
          <w:p w14:paraId="25594A6B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e.g. 20% reduction in manual repetitive tasks; improved staff retention</w:t>
            </w:r>
          </w:p>
        </w:tc>
        <w:tc>
          <w:tcPr>
            <w:tcW w:w="0" w:type="auto"/>
            <w:hideMark/>
          </w:tcPr>
          <w:p w14:paraId="6D88C203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181" w:type="dxa"/>
            <w:hideMark/>
          </w:tcPr>
          <w:p w14:paraId="3287D072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926" w:type="dxa"/>
            <w:hideMark/>
          </w:tcPr>
          <w:p w14:paraId="1F5479DC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6D3BB9A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25" w:type="dxa"/>
            <w:hideMark/>
          </w:tcPr>
          <w:p w14:paraId="03D0ABC9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75" w:type="dxa"/>
            <w:hideMark/>
          </w:tcPr>
          <w:p w14:paraId="775AF144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6E6C732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EDI: Are diverse roles involved? Training accessible?</w:t>
            </w:r>
          </w:p>
        </w:tc>
        <w:tc>
          <w:tcPr>
            <w:tcW w:w="1750" w:type="dxa"/>
            <w:hideMark/>
          </w:tcPr>
          <w:p w14:paraId="0E74AEFF" w14:textId="77777777" w:rsidR="009263E1" w:rsidRPr="009263E1" w:rsidRDefault="009263E1" w:rsidP="009263E1">
            <w:pPr>
              <w:spacing w:after="160" w:line="278" w:lineRule="auto"/>
            </w:pPr>
          </w:p>
        </w:tc>
      </w:tr>
      <w:tr w:rsidR="009263E1" w:rsidRPr="009263E1" w14:paraId="19AC4A75" w14:textId="77777777" w:rsidTr="00C01EE9">
        <w:tc>
          <w:tcPr>
            <w:tcW w:w="2964" w:type="dxa"/>
            <w:hideMark/>
          </w:tcPr>
          <w:p w14:paraId="5A845409" w14:textId="77777777" w:rsidR="009263E1" w:rsidRPr="009263E1" w:rsidRDefault="009263E1" w:rsidP="009263E1">
            <w:pPr>
              <w:spacing w:after="160" w:line="278" w:lineRule="auto"/>
            </w:pPr>
            <w:r w:rsidRPr="009263E1">
              <w:rPr>
                <w:b/>
                <w:bCs/>
              </w:rPr>
              <w:lastRenderedPageBreak/>
              <w:t>Sustainability &amp; Resilience</w:t>
            </w:r>
            <w:r w:rsidRPr="009263E1">
              <w:t xml:space="preserve"> (net zero, scalability)</w:t>
            </w:r>
          </w:p>
        </w:tc>
        <w:tc>
          <w:tcPr>
            <w:tcW w:w="0" w:type="auto"/>
            <w:hideMark/>
          </w:tcPr>
          <w:p w14:paraId="2198BCF5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e.g. 15% lower energy use; better supply-chain visibility</w:t>
            </w:r>
          </w:p>
        </w:tc>
        <w:tc>
          <w:tcPr>
            <w:tcW w:w="0" w:type="auto"/>
            <w:hideMark/>
          </w:tcPr>
          <w:p w14:paraId="7B95B4C1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181" w:type="dxa"/>
            <w:hideMark/>
          </w:tcPr>
          <w:p w14:paraId="39444155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926" w:type="dxa"/>
            <w:hideMark/>
          </w:tcPr>
          <w:p w14:paraId="0A8B1F0B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6328F36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25" w:type="dxa"/>
            <w:hideMark/>
          </w:tcPr>
          <w:p w14:paraId="2CACD685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75" w:type="dxa"/>
            <w:hideMark/>
          </w:tcPr>
          <w:p w14:paraId="7DAE863A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B605E13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Human-centric: Workers report higher job satisfaction?</w:t>
            </w:r>
          </w:p>
        </w:tc>
        <w:tc>
          <w:tcPr>
            <w:tcW w:w="1750" w:type="dxa"/>
            <w:hideMark/>
          </w:tcPr>
          <w:p w14:paraId="2B05D43F" w14:textId="77777777" w:rsidR="009263E1" w:rsidRPr="009263E1" w:rsidRDefault="009263E1" w:rsidP="009263E1">
            <w:pPr>
              <w:spacing w:after="160" w:line="278" w:lineRule="auto"/>
            </w:pPr>
          </w:p>
        </w:tc>
      </w:tr>
      <w:tr w:rsidR="009263E1" w:rsidRPr="009263E1" w14:paraId="028FA8DF" w14:textId="77777777" w:rsidTr="00C01EE9">
        <w:tc>
          <w:tcPr>
            <w:tcW w:w="2964" w:type="dxa"/>
            <w:hideMark/>
          </w:tcPr>
          <w:p w14:paraId="01B12E9E" w14:textId="77777777" w:rsidR="009263E1" w:rsidRPr="009263E1" w:rsidRDefault="009263E1" w:rsidP="009263E1">
            <w:pPr>
              <w:spacing w:after="160" w:line="278" w:lineRule="auto"/>
            </w:pPr>
            <w:r w:rsidRPr="009263E1">
              <w:rPr>
                <w:b/>
                <w:bCs/>
              </w:rPr>
              <w:t>Cyber Resilience &amp; Risk Reduction</w:t>
            </w:r>
            <w:r w:rsidRPr="009263E1">
              <w:t xml:space="preserve"> (NWSmart5.0 priority)</w:t>
            </w:r>
          </w:p>
        </w:tc>
        <w:tc>
          <w:tcPr>
            <w:tcW w:w="0" w:type="auto"/>
            <w:hideMark/>
          </w:tcPr>
          <w:p w14:paraId="05561B26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Zero major incidents post-adoption</w:t>
            </w:r>
          </w:p>
        </w:tc>
        <w:tc>
          <w:tcPr>
            <w:tcW w:w="0" w:type="auto"/>
            <w:hideMark/>
          </w:tcPr>
          <w:p w14:paraId="535C39AD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181" w:type="dxa"/>
            <w:hideMark/>
          </w:tcPr>
          <w:p w14:paraId="141D8D83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926" w:type="dxa"/>
            <w:hideMark/>
          </w:tcPr>
          <w:p w14:paraId="4CCAA5D1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5482ADB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25" w:type="dxa"/>
            <w:hideMark/>
          </w:tcPr>
          <w:p w14:paraId="0CA0C491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1575" w:type="dxa"/>
            <w:hideMark/>
          </w:tcPr>
          <w:p w14:paraId="0EA19A36" w14:textId="77777777" w:rsidR="009263E1" w:rsidRPr="009263E1" w:rsidRDefault="009263E1" w:rsidP="009263E1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8A5D18C" w14:textId="77777777" w:rsidR="009263E1" w:rsidRPr="009263E1" w:rsidRDefault="009263E1" w:rsidP="009263E1">
            <w:pPr>
              <w:spacing w:after="160" w:line="278" w:lineRule="auto"/>
            </w:pPr>
            <w:r w:rsidRPr="009263E1">
              <w:t>All new tech follows secure-by-design?</w:t>
            </w:r>
          </w:p>
        </w:tc>
        <w:tc>
          <w:tcPr>
            <w:tcW w:w="1750" w:type="dxa"/>
            <w:hideMark/>
          </w:tcPr>
          <w:p w14:paraId="3C64D016" w14:textId="77777777" w:rsidR="009263E1" w:rsidRPr="009263E1" w:rsidRDefault="009263E1" w:rsidP="009263E1">
            <w:pPr>
              <w:spacing w:after="160" w:line="278" w:lineRule="auto"/>
            </w:pPr>
          </w:p>
        </w:tc>
      </w:tr>
    </w:tbl>
    <w:p w14:paraId="7ECD4842" w14:textId="77777777" w:rsidR="004A0290" w:rsidRPr="004A0290" w:rsidRDefault="004A0290" w:rsidP="004A0290">
      <w:pPr>
        <w:rPr>
          <w:b/>
          <w:bCs/>
        </w:rPr>
      </w:pPr>
      <w:r w:rsidRPr="004A0290">
        <w:rPr>
          <w:b/>
          <w:bCs/>
        </w:rPr>
        <w:t>Reminder:</w:t>
      </w:r>
    </w:p>
    <w:p w14:paraId="2E2F5A3B" w14:textId="2459F7F3" w:rsidR="00D557E3" w:rsidRDefault="004A0290" w:rsidP="004A0290">
      <w:r>
        <w:t>All digital transformation activity should consider cybersecurity, safe AI practices, accessibility, inclusion, and workforce wellbeing.</w:t>
      </w:r>
    </w:p>
    <w:p w14:paraId="34084E04" w14:textId="54AA9062" w:rsidR="004A0290" w:rsidRPr="004A0290" w:rsidRDefault="004A0290" w:rsidP="004A0290">
      <w:pPr>
        <w:rPr>
          <w:b/>
          <w:bCs/>
        </w:rPr>
      </w:pPr>
      <w:r w:rsidRPr="004A0290">
        <w:rPr>
          <w:b/>
          <w:bCs/>
        </w:rPr>
        <w:t>Quarterly Reflection Questions</w:t>
      </w:r>
    </w:p>
    <w:p w14:paraId="3DA5CC84" w14:textId="6903E736" w:rsidR="004A0290" w:rsidRDefault="004A0290" w:rsidP="004A0290">
      <w:pPr>
        <w:pStyle w:val="ListParagraph"/>
        <w:numPr>
          <w:ilvl w:val="0"/>
          <w:numId w:val="4"/>
        </w:numPr>
      </w:pPr>
      <w:r>
        <w:t>Which improvements delivered the greatest value?</w:t>
      </w:r>
    </w:p>
    <w:p w14:paraId="1CA3AE5C" w14:textId="3CD33DE6" w:rsidR="004A0290" w:rsidRDefault="004A0290" w:rsidP="004A0290">
      <w:pPr>
        <w:pStyle w:val="ListParagraph"/>
        <w:numPr>
          <w:ilvl w:val="0"/>
          <w:numId w:val="4"/>
        </w:numPr>
      </w:pPr>
      <w:r>
        <w:t>Have any new cyber or AI risks emerged?</w:t>
      </w:r>
    </w:p>
    <w:p w14:paraId="4E64C10F" w14:textId="3ADCFEDD" w:rsidR="004A0290" w:rsidRDefault="004A0290" w:rsidP="004A0290">
      <w:pPr>
        <w:pStyle w:val="ListParagraph"/>
        <w:numPr>
          <w:ilvl w:val="0"/>
          <w:numId w:val="4"/>
        </w:numPr>
      </w:pPr>
      <w:r>
        <w:t>Are employees confident using new technologies?</w:t>
      </w:r>
    </w:p>
    <w:p w14:paraId="0A4F3ACA" w14:textId="12AE129B" w:rsidR="004A0290" w:rsidRDefault="004A0290" w:rsidP="004A0290">
      <w:pPr>
        <w:pStyle w:val="ListParagraph"/>
        <w:numPr>
          <w:ilvl w:val="0"/>
          <w:numId w:val="4"/>
        </w:numPr>
      </w:pPr>
      <w:r>
        <w:t>What barriers are slowing progress?</w:t>
      </w:r>
    </w:p>
    <w:p w14:paraId="0551EEF9" w14:textId="685F0B8F" w:rsidR="00D557E3" w:rsidRDefault="004A0290" w:rsidP="004A0290">
      <w:pPr>
        <w:pStyle w:val="ListParagraph"/>
        <w:numPr>
          <w:ilvl w:val="0"/>
          <w:numId w:val="4"/>
        </w:numPr>
      </w:pPr>
      <w:r>
        <w:t>What should be prioritised next?</w:t>
      </w:r>
    </w:p>
    <w:p w14:paraId="2AB7E5E2" w14:textId="77777777" w:rsidR="004A0290" w:rsidRPr="004A0290" w:rsidRDefault="004A0290" w:rsidP="004A0290">
      <w:pPr>
        <w:rPr>
          <w:b/>
          <w:bCs/>
        </w:rPr>
      </w:pPr>
      <w:r w:rsidRPr="004A0290">
        <w:rPr>
          <w:b/>
          <w:bCs/>
        </w:rPr>
        <w:t>Disclaimer:</w:t>
      </w:r>
    </w:p>
    <w:p w14:paraId="60A6F61C" w14:textId="6BFAD54F" w:rsidR="004A0290" w:rsidRDefault="004A0290" w:rsidP="004A0290">
      <w:pPr>
        <w:rPr>
          <w:b/>
          <w:bCs/>
        </w:rPr>
      </w:pPr>
      <w:r w:rsidRPr="004A0290">
        <w:rPr>
          <w:b/>
          <w:bCs/>
        </w:rPr>
        <w:t>This tracker is intended as general guidance only and should not replace professional business, legal, financial, cybersecurity, or regulatory advice.</w:t>
      </w:r>
    </w:p>
    <w:p w14:paraId="71B7D007" w14:textId="7EE11930" w:rsidR="004A0290" w:rsidRPr="004A0290" w:rsidRDefault="004A0290" w:rsidP="004A0290">
      <w:pPr>
        <w:jc w:val="center"/>
        <w:rPr>
          <w:b/>
          <w:bCs/>
        </w:rPr>
      </w:pPr>
      <w:r w:rsidRPr="004A0290">
        <w:rPr>
          <w:b/>
          <w:bCs/>
        </w:rPr>
        <w:lastRenderedPageBreak/>
        <w:drawing>
          <wp:inline distT="0" distB="0" distL="0" distR="0" wp14:anchorId="1C9050AF" wp14:editId="7449726F">
            <wp:extent cx="7345680" cy="2496100"/>
            <wp:effectExtent l="0" t="0" r="7620" b="0"/>
            <wp:docPr id="1855217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17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7324" cy="249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9AE61" w14:textId="77777777" w:rsidR="00D557E3" w:rsidRDefault="00D557E3" w:rsidP="009263E1"/>
    <w:p w14:paraId="3FCA7873" w14:textId="77777777" w:rsidR="00D557E3" w:rsidRDefault="00D557E3" w:rsidP="009263E1"/>
    <w:p w14:paraId="05756FED" w14:textId="77777777" w:rsidR="00D557E3" w:rsidRDefault="00D557E3" w:rsidP="009263E1"/>
    <w:p w14:paraId="723CCC75" w14:textId="77777777" w:rsidR="00D557E3" w:rsidRDefault="00D557E3" w:rsidP="009263E1"/>
    <w:p w14:paraId="4B5463DC" w14:textId="77777777" w:rsidR="00D557E3" w:rsidRDefault="00D557E3" w:rsidP="00D557E3">
      <w:r w:rsidRPr="00D557E3">
        <w:t>NWSmart5.0 Benefits Realisation Tracker – Adapted from Made Smarter Roadmap (2024)</w:t>
      </w:r>
    </w:p>
    <w:p w14:paraId="021C09AA" w14:textId="18D6E9F5" w:rsidR="003930BD" w:rsidRDefault="00596B9C">
      <w:r>
        <w:t xml:space="preserve">Source: </w:t>
      </w:r>
      <w:hyperlink r:id="rId6" w:history="1">
        <w:r w:rsidR="00246617" w:rsidRPr="00FD6AE1">
          <w:rPr>
            <w:rStyle w:val="Hyperlink"/>
          </w:rPr>
          <w:t>madesmarter-digital-transformation.pdf</w:t>
        </w:r>
      </w:hyperlink>
      <w:r w:rsidR="00246617">
        <w:t xml:space="preserve"> </w:t>
      </w:r>
    </w:p>
    <w:sectPr w:rsidR="003930BD" w:rsidSect="009263E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FEF"/>
    <w:multiLevelType w:val="multilevel"/>
    <w:tmpl w:val="909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04B07"/>
    <w:multiLevelType w:val="hybridMultilevel"/>
    <w:tmpl w:val="1D3E2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06922"/>
    <w:multiLevelType w:val="hybridMultilevel"/>
    <w:tmpl w:val="21A88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33BD3"/>
    <w:multiLevelType w:val="hybridMultilevel"/>
    <w:tmpl w:val="798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92535">
    <w:abstractNumId w:val="0"/>
  </w:num>
  <w:num w:numId="2" w16cid:durableId="1359812867">
    <w:abstractNumId w:val="1"/>
  </w:num>
  <w:num w:numId="3" w16cid:durableId="1402093931">
    <w:abstractNumId w:val="3"/>
  </w:num>
  <w:num w:numId="4" w16cid:durableId="70825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E1"/>
    <w:rsid w:val="000B20FB"/>
    <w:rsid w:val="001D1368"/>
    <w:rsid w:val="002366ED"/>
    <w:rsid w:val="00246617"/>
    <w:rsid w:val="002A49F3"/>
    <w:rsid w:val="003930BD"/>
    <w:rsid w:val="004A0290"/>
    <w:rsid w:val="004D7D06"/>
    <w:rsid w:val="00526DBA"/>
    <w:rsid w:val="00585ACE"/>
    <w:rsid w:val="00596B9C"/>
    <w:rsid w:val="007B2176"/>
    <w:rsid w:val="009263E1"/>
    <w:rsid w:val="00C01EE9"/>
    <w:rsid w:val="00D557E3"/>
    <w:rsid w:val="00DD0F0A"/>
    <w:rsid w:val="00F96D8E"/>
    <w:rsid w:val="00F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213B"/>
  <w15:chartTrackingRefBased/>
  <w15:docId w15:val="{B380BF7E-CEA8-4D29-8ECF-7974B8E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3E1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9263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2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61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66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desmarter.uk/media/vuumewqe/madesmarter-digital-transformatio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 Asif Kousar</dc:creator>
  <cp:keywords/>
  <dc:description/>
  <cp:lastModifiedBy>Esha Asif Kousar</cp:lastModifiedBy>
  <cp:revision>9</cp:revision>
  <dcterms:created xsi:type="dcterms:W3CDTF">2026-05-11T22:24:00Z</dcterms:created>
  <dcterms:modified xsi:type="dcterms:W3CDTF">2026-05-27T01:26:00Z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931aed94-ecc3-4d6d-9e8a-41d5ee535dd7</vt:lpwstr>
  </property>
</Properties>
</file>